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3C" w:rsidRPr="00382A3C" w:rsidRDefault="00382A3C" w:rsidP="00382A3C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382A3C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Общества с ограниченной ответственностью </w:t>
      </w:r>
      <w:proofErr w:type="gramStart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« Апрель</w:t>
      </w:r>
      <w:proofErr w:type="gramEnd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»</w:t>
      </w:r>
    </w:p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строительству многоквартирного жилого дома с </w:t>
      </w:r>
      <w:proofErr w:type="gramStart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нежилыми  помещениями</w:t>
      </w:r>
      <w:proofErr w:type="gramEnd"/>
    </w:p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район </w:t>
      </w:r>
      <w:proofErr w:type="spellStart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Канищево</w:t>
      </w:r>
      <w:proofErr w:type="spellEnd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, микрорайон-9, улица </w:t>
      </w:r>
      <w:proofErr w:type="spellStart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Семчинская</w:t>
      </w:r>
      <w:proofErr w:type="spellEnd"/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, дом 4</w:t>
      </w:r>
    </w:p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6695"/>
      </w:tblGrid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1. Фирменное наименование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« Апрель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Адрес местонахождения: 391050, Рязанская область, город Спасск- Рязанский, улица Ломоносова, дом 1-а.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Адрес ЗАО «Группа компаний «ЕДИНСТВО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»:  Рязанская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область, г. Рязань, Вокзальная улица, дом 41,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пом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Н5.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Пн-Пт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Сб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Вс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– выходной.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« Апрель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Зарегистрировано Межрайонной Инспекцией ФНС России № 6 по Рязанской области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21 августа 2014 года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ОГРН 1146215000910, ИНН 6220009546, КПП 622001001.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Физическое лицо: Куприенко Вадим Николаевич - 100% голосов.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(за 3 предшествующих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Нет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19 сентября 2014 года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«</w:t>
            </w:r>
            <w:proofErr w:type="spellStart"/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»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заключен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Договор подряда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19 сентября 2014 года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«</w:t>
            </w:r>
            <w:proofErr w:type="spellStart"/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»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заключен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Договор на выполнение строительного контроля.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lastRenderedPageBreak/>
              <w:t>Правления СРО НП «Объединение Рязанских строителей», протокол №96 от 19.06.2012 г. на неограниченный срок.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Финансовый результат – 0 рублей;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Размер кредиторской задолженности – 0 рублей;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Размер дебиторской задолженности – 0  рублей.</w:t>
            </w:r>
          </w:p>
        </w:tc>
      </w:tr>
    </w:tbl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382A3C" w:rsidRPr="00382A3C" w:rsidRDefault="00382A3C" w:rsidP="00382A3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82A3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7748"/>
      </w:tblGrid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 xml:space="preserve">Рязанская область, город Рязань, район </w:t>
            </w:r>
            <w:proofErr w:type="spellStart"/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Канищево</w:t>
            </w:r>
            <w:proofErr w:type="spellEnd"/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 xml:space="preserve">, микрорайон-9, улица </w:t>
            </w:r>
            <w:proofErr w:type="spellStart"/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Семчинская</w:t>
            </w:r>
            <w:proofErr w:type="spellEnd"/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, дом 4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(далее - «здание дома»).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Срок завершения проекта (срок передачи) – до 30 июня 2017 года.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Положительное заключение негосударственной экспертизы №76-1-2-0065-14, утвержденное Генеральным директором ЗАО «Верхне-Волжский Институт строительной Экспертизы и Консалтинга» 21.08.2014 года.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Разрешение на строительство №RU62326000-126/2014/РС от «19» сентября 2014 года, выдано Администрацией города Рязани.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 xml:space="preserve">4. Права на земельный участок, реквизиты правоустанавливающих документов, собственник 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lastRenderedPageBreak/>
              <w:t>Застройщик на праве аренды владеет: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земельным участком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земельный участок с кадастровым №62:29:0020005: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1573,  категория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земель – земли населенных пунктов, общей площадью – 8 069 (восемь тысяч шестьдесят девять)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кв.м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, адрес: Рязанская область, г. Рязань, р-н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Семчино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(Московский район),(далее –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Участок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») на основании Договора аренды от 25.08.2014 года, зарегистрированного Управлением Федеральной службы государственной регистрации, кадастра и картографии по Рязанской области 28.08 2014 года за  №62-62-01/309/2014-123.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proofErr w:type="gramStart"/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Собственник  земельного</w:t>
            </w:r>
            <w:proofErr w:type="gramEnd"/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 xml:space="preserve"> участка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lastRenderedPageBreak/>
              <w:t>Участок принадлежит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Кирсановой А.В.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по праву собственности. Право собственности зарегистрировано в Едином государственном реестре прав на недвижимое имущество и сделок с ним 17.07.2014 г., запись регистрации №62-62-01/258/2014-111.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Свидетельство о государственной регистрации права 62 –МД № 914292 от 17 июля 2014 года.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проезда из асфальтобетона, открытая площадка для парковки автотранспорта. Все площадки имеют соответствующие покрытие и оборудование.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- запроектирован пандус с юго-западной стороны здания при входе в жилую часть здания дома с отметки тротуара до входной площадки крыльца подъезда;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- вдоль обеих сторон всех пандусов предусматриваются ограждения с поручнями;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- предусматривается устройство вертикального механического подъемника при входной группе в жилую часть здания дома;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bookmarkStart w:id="1" w:name="house"/>
            <w:bookmarkEnd w:id="1"/>
            <w:r w:rsidRPr="00382A3C">
              <w:rPr>
                <w:rFonts w:ascii="Calibri" w:eastAsia="Times New Roman" w:hAnsi="Calibri" w:cs="Calibri"/>
                <w:noProof/>
                <w:color w:val="60534C"/>
                <w:sz w:val="21"/>
                <w:szCs w:val="21"/>
                <w:lang w:eastAsia="ru-RU"/>
              </w:rPr>
              <w:drawing>
                <wp:inline distT="0" distB="0" distL="0" distR="0" wp14:anchorId="4100EE0E" wp14:editId="5BB96673">
                  <wp:extent cx="9525000" cy="10144125"/>
                  <wp:effectExtent l="0" t="0" r="0" b="9525"/>
                  <wp:docPr id="2" name="Рисунок 2" descr="http://old.edinstvo62.ru/houses/93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d.edinstvo62.ru/houses/93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1014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lastRenderedPageBreak/>
              <w:t xml:space="preserve">       Площадка строительства здания дома расположена в районе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Семчино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микрорайона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Канищево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города Рязани на незастроенной территории. Памятников историко-культурного наследия на участке и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прилегающей  территории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нет. Здание дома расположено вне пределов охранной зоны и санитарно-защитных зон предприятий и сооружений.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  Здание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дома  одно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-подъездное, 15-ти этажное  с подвальным и техническим этажами. Все этажи жилые. На каждом этаже запроектировано 12 квартир. На жилых этажах расположены одно, двухкомнатные квартиры. Вход в жилую часть дома организован с территории двора через входную группу и оборудован двойным тамбуром.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  Здание дома бескаркасное с жесткой конструктивной схемой. В качестве несущей системы здания принят кирпичный остов, состоящий из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несущих  и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ненесущих продольных и поперечных кирпичных стен.  Пространственная жесткость, устойчивость обеспечивается жесткостью самих стен и жесткостью дисков перекрытий, сопряженных со стенами.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  Наружные стены 1-го – 3-го этажей - из одинарного керамического полнотелого кирпича марки 200, толщиной 640 мм с облицовкой керамическим лицевым кирпичом толщиной 120 мм с внутренним утеплением, общая толщина стен 790 мм.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       Наружные стены 4-6 этажей –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из  одинарного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керамического полнотелого кирпича марки 150,  толщиной 640 мм с облицовкой керамическим лицевым кирпичом толщиной 120 мм с внутренним утеплением, общая толщина стен 790 мм.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   Наружные стены 7-15 этажа из камня крупноформатного пустотелого из пористой керамики толщиной 510 мм, с облицовкой лицевым керамическим кирпичом толщиной 120 мм, общая толщина стены 640 мм.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    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   Отопление и горячее водоснабжение квартир – автономное, от индивидуальных поквартирных двухконтурных газовых котлов, расположенных на кухнях. Система отопления квартир принята лучевая.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       Отопление нежилых помещений – газовые котлы, установленные в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. Горячее водоснабжение нежилых помещений – от электрических водонагревателей.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       Водоснабжение здания дома предусмотрено от ранее запроектированной кольцевой сети водоснабжения с подключением к водоводу, проходящего в районе застройки. Для здания предусмотрена объединенная система хозяйственно-противопожарного водопровода. Сети кольцевые.  Для учета расхода холодной воды на ответвлениях в каждую квартиру и нежилые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помещения  установлены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счетчики.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   Источником электроснабжения здания дома является ранее запроектированная блочная комплектная трансформаторная подстанция.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    Проектом предусматривается наружное освещение дворовой части дома. Подключение осуществляется от существующей сети освещения микрорайона.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Для электроснабжения квартир предусмотрены щитки этажные распределения электроэнергии ЩЭ 3, ЩЭ 4, устанавливаемые в нишах стен поэтажных коридоров.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 В подвальном этаже предполагается размещение инженерных коммуникаций, нежилых помещений (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хозяйственных кладовых),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, пожарная насосная, хозяйственно-питьевая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насосная,  помещение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для приборов пожарной охранной сигнализации.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lastRenderedPageBreak/>
              <w:t xml:space="preserve">   На первом этаже размещаются: помещение хранения уборочного инвентаря для уборки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помещений здания дома, колясочная и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теплогенераторная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с непосредственным выходом на улицу.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 В проектной документации предусмотрено устройство сетей связи: телефонизация, радиофикация, телевидение.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  В здании дома предусмотрена установка двух пассажирских лифтов. Один лифт грузоподъемностью 400 кг, другой – 630 кг. Параметры кабины второго лифта достаточны для пользования инвалидом на кресле-коляске. Остановки лифтов предусмотрены с 1 по 15 этажи. Шахты лифта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имеют  смежные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стены с помещением квартир (с кухней).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   В квартирах на кухнях предусмотрены установки газовых плит.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       Вентиляция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квартир  и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нежилых помещений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 -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приточно-вытяжная с механическим и естественным побуждением. На последних двух этажах вытяжка механическая.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  Фундаменты – монолитные железобетонные фундаментная плита.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  Кровля – плоская с организованным внутренним водостоком.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      Оконные проемы остекляются ПВХ-профилем. Лоджии, балконы остекляются ПВХ или алюминиевым профилем, согласно фасадного решения.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  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Инфраструктура района: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Остановки общественного транспорта: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Остановка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« Телезавод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», «Улица 1 Мая», «3-й квартал».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А) автобусы-№17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Б) троллейбусы- 8,16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В) маршрутное такси-№44,46,50,51,53,58,70,73,75,87,90,98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Г) коммерческий автобус: 34,36,61,69.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Аптеки: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1)    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СПРЭЙ» (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ул.Интернациональная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, д.3а, ул. Интернациональная, д.16а)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2)    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Алфавит-Здоровье» (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ул.Интернациональная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, д.4)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3)    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Центральная» (ул. Интернациональная, д.16)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Средние общеобразовательные школы: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i/>
                <w:iCs/>
                <w:color w:val="60534C"/>
                <w:sz w:val="21"/>
                <w:szCs w:val="21"/>
                <w:lang w:eastAsia="ru-RU"/>
              </w:rPr>
              <w:t>1)       </w:t>
            </w: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№</w:t>
            </w:r>
            <w:proofErr w:type="gramStart"/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58  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(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ул. Интернациональная, 6)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i/>
                <w:iCs/>
                <w:color w:val="60534C"/>
                <w:sz w:val="21"/>
                <w:szCs w:val="21"/>
                <w:lang w:eastAsia="ru-RU"/>
              </w:rPr>
              <w:t>2)       </w:t>
            </w: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№56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(ул. Бирюзова, 13а)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i/>
                <w:iCs/>
                <w:color w:val="60534C"/>
                <w:sz w:val="21"/>
                <w:szCs w:val="21"/>
                <w:lang w:eastAsia="ru-RU"/>
              </w:rPr>
              <w:t>3)       </w:t>
            </w: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№35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(ул. Бирюзова, 19а)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Детские сады: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1)       №126(ул. Бирюзова, 4А)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2)       №3 «Изюминка» (ул. Бирюзова, 6А)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3)       №16 (ул. Бирюзова, 8А)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4)       №28 «Солнышко» (ул. Бирюзова, д.20а)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5)    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Радость моя» (ул. Интернациональная, д.11д)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6)       №137 «Рябинка» (ул. Интернациональная, д.14а)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Спортивные учреждения: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1)       Детско-юношеский центр «Надежда» (ул. Интернациональная, д.5)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2)       Стадион у школы №58.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Магазины: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1)       Торговый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центр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КИТ»  (ул. Интернациональная, 10а)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2)       Универсам «Подсолнух» (ул. Интернациональная, д.8/29)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3)    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ДИКСИ на Интернациональной» (ул. Интернациональная, д.8/29)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4)       Торговый центр «Талисман» (ул. Интернациональная, д.10в)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Отделение почты России №39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(ул.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Станкозаводская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, д.27)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lastRenderedPageBreak/>
              <w:t xml:space="preserve">Отделение Сбербанка </w:t>
            </w:r>
            <w:proofErr w:type="gramStart"/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России 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(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ул. Интернациональная, д.8, ул. Интернациональная, д.22)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 xml:space="preserve">Отделение </w:t>
            </w:r>
            <w:proofErr w:type="spellStart"/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РоссельхозБанка</w:t>
            </w:r>
            <w:proofErr w:type="spellEnd"/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 xml:space="preserve"> России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(ул. Интернациональная, д.17)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Медицинские учреждения: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1)       Рязанская областная клиническая больница (Интернациональная, 3А)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2)       Областная детская клиническая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больница  имени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Н.В.Дмитриевой</w:t>
            </w:r>
            <w:proofErr w:type="spellEnd"/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(Интернациональная,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1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а)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3)       Рязанский областной клинический перинатальный центр (Интернациональная, 1 И)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4)      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Детская  стоматологическая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поликлиника №1 (Интернациональная, 15В)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i/>
                <w:iCs/>
                <w:color w:val="60534C"/>
                <w:sz w:val="21"/>
                <w:szCs w:val="21"/>
                <w:lang w:eastAsia="ru-RU"/>
              </w:rPr>
              <w:t>Салоны красоты: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1)    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ИРИС» (Интернациональная, д.1А стр.5)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2)    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Персона»  (Интернациональная, д.2 к.2)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3)    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  «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Николь»  (Интернациональная, д.4)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4)       «Каприз» (Интернациональная, д.5В)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Квартир: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- 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179,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общей площадью – 8 138,85   кв. м, из них: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однокомнатных – 119;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двухкомнатных  - 60.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– без конкретной технологии (назначения),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  возможностью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  размещения инженерно-технических помещений: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, пожарная насосная, хозяйственно-питьевая насосная,  помещение для приборов пожарной охранной сигнализации. В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местах  отсутствия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инженерных коммуникаций предусматривается возможность размещения нежилых помещений (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хозяйственных кладовых).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На первом этаже 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– помещение хранения уборочного инвентаря для уборки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помещений здания дома, колясочная и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теплогенераторная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 xml:space="preserve">9. Состав общего имущества в многоквартирном доме, которое 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будет находиться в общей долевой собственности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lastRenderedPageBreak/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, узлы ввода и учета воды, тепла, земельный участок.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IV квартал 2016 года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Администрация города Рязани.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 xml:space="preserve">12. Возможные финансовые и прочие риски при осуществлении проекта строительства и меры по добровольному </w:t>
            </w: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lastRenderedPageBreak/>
              <w:t>Застройщик относит к рискам следующие обстоятельства: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203 471 000 рублей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ООО «Апрель»;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ОАО «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ОАО «МРСК Центра и Приволжья» филиал «Рязаньэнерго»;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ООО «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ООО «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Евтюхин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А.Н.;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МУП «Водоканал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города  Рязани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ОАО «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ИнтерТелеком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ООО «</w:t>
            </w:r>
            <w:proofErr w:type="spell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»;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ЗАО «Группа компаний «ЕДИНСТВО».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В соответствии </w:t>
            </w:r>
            <w:proofErr w:type="gramStart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с  Федеральным</w:t>
            </w:r>
            <w:proofErr w:type="gramEnd"/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      </w:r>
          </w:p>
        </w:tc>
      </w:tr>
      <w:tr w:rsidR="00382A3C" w:rsidRPr="00382A3C" w:rsidTr="00382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2A3C" w:rsidRPr="00382A3C" w:rsidRDefault="00382A3C" w:rsidP="00382A3C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382A3C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Договоры займа.</w:t>
            </w:r>
          </w:p>
        </w:tc>
      </w:tr>
    </w:tbl>
    <w:p w:rsidR="006E5139" w:rsidRDefault="006E5139"/>
    <w:sectPr w:rsidR="006E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3C"/>
    <w:rsid w:val="00382A3C"/>
    <w:rsid w:val="006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E59A-5AF7-4443-AABA-4D4BD845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2017-06-09T11:17:00Z</dcterms:created>
  <dcterms:modified xsi:type="dcterms:W3CDTF">2017-06-09T11:18:00Z</dcterms:modified>
</cp:coreProperties>
</file>